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0070c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767171"/>
          <w:sz w:val="32"/>
          <w:szCs w:val="32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Lato" w:cs="Lato" w:eastAsia="Lato" w:hAnsi="Lato"/>
          <w:b w:val="1"/>
          <w:color w:val="767171"/>
          <w:sz w:val="32"/>
          <w:szCs w:val="32"/>
          <w:rtl w:val="0"/>
        </w:rPr>
        <w:t xml:space="preserve">Termo de adesão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UM MILHÃO DE OPORTUNIDADES PARA ADOLESCENTES E JOVENS</w:t>
      </w:r>
      <w:r w:rsidDel="00000000" w:rsidR="00000000" w:rsidRPr="00000000">
        <w:rPr>
          <w:color w:val="0070c0"/>
          <w:sz w:val="22"/>
          <w:szCs w:val="22"/>
          <w:rtl w:val="0"/>
        </w:rPr>
        <w:t xml:space="preserve"> </w:t>
      </w:r>
    </w:p>
    <w:p w:rsidR="00000000" w:rsidDel="00000000" w:rsidP="00000000" w:rsidRDefault="00000000" w:rsidRPr="00000000" w14:paraId="00000003">
      <w:pPr>
        <w:jc w:val="cente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é uma articulação das Nações Unidas, governos, setor privado e da sociedade civil engajados em criar oportunidades de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educação de qualidade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conectividade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formação de competências digitais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participação cidadã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capacitação profissional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 acesso ao mundo do trabalho nas categorias 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aprendiz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estágio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emprego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para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adolescentes e jovens (14 a 24 anos) em situação de vulnerabilidade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.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POR QUE É URGENTE?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ind w:left="720" w:right="-597" w:firstLine="0"/>
        <w:jc w:val="right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Brasil tem hoje a maior geração de jovens da sua história. São mais de 48 milhões de adolescentes e jovens entre 10 e 24 anos. Mas 6,6 milhões deles, entre 18 e 24 anos, estão sem estudar e sem trabalhar. Na base, a exclusão escolar atinge 1,7 milhão de crianças e adolescentes (4 a 17 anos) e 6,4 milhões têm dois ou mais anos de atraso escolar. No total, 27 milhões de crianças e adolescentes brasileiros sofrem com privações múltiplas, sem a garantia de seus direitos fundamentais como acesso à moradia e saneamento. Eles são praticamente metade (49,7%) da população brasileira de até 17 anos. O Brasil é também o país com maior número de casos absolutos de homicídios de adolescentes em todo o mundo. Dados do Atlas da Violência 2019 mostram que, de cada 10 meninos de 15 a 19 anos que morreram no Brasil, seis foram vítimas de homicídios. Negros, pardos, indígenas e adolescentes e jovens com deficiência são de duas a três vezes mais afetados pela violação de direitos, violência, desemprego e a exclusão e o atraso escolares.</w:t>
      </w:r>
    </w:p>
    <w:p w:rsidR="00000000" w:rsidDel="00000000" w:rsidP="00000000" w:rsidRDefault="00000000" w:rsidRPr="00000000" w14:paraId="00000009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Fontes: PNAD/IBGE, Censo Escolar/INEP, SIM/Datasus, IPEA/Atlas da Violência.</w:t>
      </w:r>
    </w:p>
    <w:p w:rsidR="00000000" w:rsidDel="00000000" w:rsidP="00000000" w:rsidRDefault="00000000" w:rsidRPr="00000000" w14:paraId="0000000B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TRABALHO DECENTE</w:t>
      </w:r>
    </w:p>
    <w:p w:rsidR="00000000" w:rsidDel="00000000" w:rsidP="00000000" w:rsidRDefault="00000000" w:rsidRPr="00000000" w14:paraId="0000000D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Formalizado pela Organização Internacional do Trabalho (OIT), em 1999, o conceito de trabalho decente sintetiza a missão histórica da organização de promover oportunidades para que homens e mulheres obtenham um trabalho produtivo e de qualidade, em condições de liberdade, equidade, segurança e dignidade humanas, sendo considerado condição fundamental para a superação da pobreza, a redução das desigualdades sociais, a garantia da governabilidade democrática e o desenvolvimento sustentável.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COMPROMISSOS</w:t>
      </w:r>
    </w:p>
    <w:p w:rsidR="00000000" w:rsidDel="00000000" w:rsidP="00000000" w:rsidRDefault="00000000" w:rsidRPr="00000000" w14:paraId="00000010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participação de empresas na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implica:</w:t>
      </w:r>
    </w:p>
    <w:p w:rsidR="00000000" w:rsidDel="00000000" w:rsidP="00000000" w:rsidRDefault="00000000" w:rsidRPr="00000000" w14:paraId="00000012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Adesão formal à iniciativa por meio da concordância com este termo e suas condições;</w:t>
      </w:r>
    </w:p>
    <w:p w:rsidR="00000000" w:rsidDel="00000000" w:rsidP="00000000" w:rsidRDefault="00000000" w:rsidRPr="00000000" w14:paraId="00000014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Compromisso em gerar oportunidades de acesso ao mundo do trabalho para jovens e adolescentes em situação de vulnerabilidade de 14 a 24 anos nas categorias de estágio, aprendiz e emprego formal, seguindo o conceito de trabalho decente da Organização Internacional do Trabalho e a seção III do Estatuto da Juventude (Lei nº 12.852), que dispõe sobre o direito à profissionalização, ao trabalho e à renda, compreendendo os seguintes pilares:</w:t>
      </w:r>
    </w:p>
    <w:p w:rsidR="00000000" w:rsidDel="00000000" w:rsidP="00000000" w:rsidRDefault="00000000" w:rsidRPr="00000000" w14:paraId="00000016">
      <w:pPr>
        <w:tabs>
          <w:tab w:val="center" w:pos="4419"/>
          <w:tab w:val="right" w:pos="8838"/>
        </w:tabs>
        <w:ind w:left="720" w:right="-597" w:firstLine="0"/>
        <w:jc w:val="right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respeito aos direitos no trabalho, especialmente aqueles definidos como fundamentais: liberdade sindical, direito de negociação coletiva, eliminação de todas as formas de discriminação em matéria de emprego e ocupação e erradicação de todas as formas de trabalho forçado e trabalho infantil;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promoção do emprego produtivo e de qualidade;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ampliação da proteção social;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fortalecimento do diálogo social. </w:t>
      </w:r>
    </w:p>
    <w:p w:rsidR="00000000" w:rsidDel="00000000" w:rsidP="00000000" w:rsidRDefault="00000000" w:rsidRPr="00000000" w14:paraId="0000001B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Informar e monitorar o preenchimento das vagas ofertadas e o desenvolvimento dos jovens e adolescentes em situação de vulnerabilidade que as ocuparem;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Promover a inclusão produtiva dos jovens e adolescentes em situação de vulnerabilidade social que acessarem as oportunidades ofertando formação, mentoria, possibilidades reais de crescimento profissional, oportunidades de participação em processos de decisão e apoio para aqueles que forem vítimas de violações de direitos e violências;  </w:t>
      </w:r>
    </w:p>
    <w:p w:rsidR="00000000" w:rsidDel="00000000" w:rsidP="00000000" w:rsidRDefault="00000000" w:rsidRPr="00000000" w14:paraId="0000001E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Valorização da diversidade e à não discriminação de gênero, cor, condição social ou de qualquer tipo;</w:t>
      </w:r>
    </w:p>
    <w:p w:rsidR="00000000" w:rsidDel="00000000" w:rsidP="00000000" w:rsidRDefault="00000000" w:rsidRPr="00000000" w14:paraId="00000020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Enfrentamento à todas as formas de violência e violação dos direitos de crianças e adolescentes expressos no Estatuto da Criança e do Adolescente e no Estatuto da Juventude;</w:t>
      </w:r>
    </w:p>
    <w:p w:rsidR="00000000" w:rsidDel="00000000" w:rsidP="00000000" w:rsidRDefault="00000000" w:rsidRPr="00000000" w14:paraId="00000022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Exibir o mais alto padrão de conduta para garantir que os valores fundamentais das Nações Unidas, da Convenção sobre os Direitos da Criança, da Convenção sobre a Eliminação de Todas as Formas de Discriminação contra as Mulheres e da Convenção sobre os Direitos das Pessoas com Deficiência sejam respeitados;</w:t>
      </w:r>
    </w:p>
    <w:p w:rsidR="00000000" w:rsidDel="00000000" w:rsidP="00000000" w:rsidRDefault="00000000" w:rsidRPr="00000000" w14:paraId="00000024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Cumprir as várias leis e convenções aplicáveis no Brasil que proíbem atos de corrupção e outros atos lesivos contra a administração pública, dentre elas a Convenção Anticorrupção da OCDE, a Convenção das Nações Unidas contra a Corrupção (Decreto Federal n° 5.687/06), o Código Penal Brasileiro, a Lei de Improbidade Administrativa (Lei n° 8.429/1992), Lei n° 9.613/98 e a Lei n° 12.846/2013, doravante denominadas, em conjunto, “Leis Anticorrupção”;</w:t>
      </w:r>
    </w:p>
    <w:p w:rsidR="00000000" w:rsidDel="00000000" w:rsidP="00000000" w:rsidRDefault="00000000" w:rsidRPr="00000000" w14:paraId="00000026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Manter práticas empresariais éticas em conformidade com as diferentes legislações federais, estaduais e municipais concernentes às relações e segurança do trabalho, às normas que disciplinam os direitos de propriedade intelectual e de personalidade e às normas e políticas de preservação ambiental;</w:t>
      </w:r>
    </w:p>
    <w:p w:rsidR="00000000" w:rsidDel="00000000" w:rsidP="00000000" w:rsidRDefault="00000000" w:rsidRPr="00000000" w14:paraId="00000028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Fomentar e se comprometer com os 17 Objetivos de Desenvolvimento Sustentável das Nações Unidas (ODS).</w:t>
      </w:r>
    </w:p>
    <w:p w:rsidR="00000000" w:rsidDel="00000000" w:rsidP="00000000" w:rsidRDefault="00000000" w:rsidRPr="00000000" w14:paraId="0000002A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PERFIS PRIORITÁRIOS 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estabelece os seguintes critérios para a definição dos perfis prioritários de adolescentes e jovens de 14 a 24 anos em situação de vulnerabilidade. </w:t>
        <w:br w:type="textWrapping"/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- Étnico-racial; 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- Renda (adolescentes e jovens sem renda ou renda per capita familiar de até R$ 150 mensais); </w:t>
        <w:br w:type="textWrapping"/>
        <w:br w:type="textWrapping"/>
        <w:t xml:space="preserve">- Localização (adolescentes e jovens moradores de periferias urbanas e zonas rurais); </w:t>
        <w:br w:type="textWrapping"/>
        <w:br w:type="textWrapping"/>
        <w:t xml:space="preserve">- Populações originárias (indígenas, quilombolas e ribeirinhos); </w:t>
        <w:br w:type="textWrapping"/>
        <w:br w:type="textWrapping"/>
        <w:t xml:space="preserve">- Migrantes; </w:t>
        <w:br w:type="textWrapping"/>
        <w:br w:type="textWrapping"/>
        <w:t xml:space="preserve">- Adolescentes e jovens com deficiência; </w:t>
        <w:br w:type="textWrapping"/>
        <w:br w:type="textWrapping"/>
        <w:t xml:space="preserve">- LBTQIA+; </w:t>
        <w:br w:type="textWrapping"/>
        <w:br w:type="textWrapping"/>
        <w:t xml:space="preserve">- Meninas nos mercados de Ciência, Tecnologia, Engenharia e afins; </w:t>
        <w:br w:type="textWrapping"/>
        <w:br w:type="textWrapping"/>
        <w:t xml:space="preserve">- Egressos do sistema socioeducativo e adolescentes e jovens cumprindo medidas socioeducativas em meio aberto; </w:t>
        <w:br w:type="textWrapping"/>
        <w:br w:type="textWrapping"/>
        <w:t xml:space="preserve">- Adolescentes e jovens mães;</w:t>
        <w:br w:type="textWrapping"/>
        <w:br w:type="textWrapping"/>
        <w:t xml:space="preserve">- Vítimas de trabalho infantil.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VISIBILIDADE</w:t>
      </w:r>
    </w:p>
    <w:p w:rsidR="00000000" w:rsidDel="00000000" w:rsidP="00000000" w:rsidRDefault="00000000" w:rsidRPr="00000000" w14:paraId="00000031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As instituições parceiras da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poderão fazer uso da marca da iniciativa em suas comunicações, passam a ser porta-vozes para novos integrantes e terão a visibilidade de suas marcas na plataforma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 demais materiais de divulgação da iniciativa dentro e fora do país.</w:t>
      </w:r>
    </w:p>
    <w:p w:rsidR="00000000" w:rsidDel="00000000" w:rsidP="00000000" w:rsidRDefault="00000000" w:rsidRPr="00000000" w14:paraId="00000033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Selo de instituição parceira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(1MIO): a instituição poderá usar a marca 1MIO em seus sites, peças de comunicação, publicações e divulgar os resultados atingidos.</w:t>
      </w:r>
    </w:p>
    <w:p w:rsidR="00000000" w:rsidDel="00000000" w:rsidP="00000000" w:rsidRDefault="00000000" w:rsidRPr="00000000" w14:paraId="00000035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Participação em eventos nacionais e globais da iniciativa: parceiros farão partes de eventos de governança e divulgação de ações e resultados da iniciativa.</w:t>
      </w:r>
    </w:p>
    <w:p w:rsidR="00000000" w:rsidDel="00000000" w:rsidP="00000000" w:rsidRDefault="00000000" w:rsidRPr="00000000" w14:paraId="00000037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Visibilidade na plataforma, redes sociais e materiais de comunicação: as marcas das instituições parceiras estarão na plataforma, peças de comunicação e publicações da iniciativa.</w:t>
      </w:r>
    </w:p>
    <w:p w:rsidR="00000000" w:rsidDel="00000000" w:rsidP="00000000" w:rsidRDefault="00000000" w:rsidRPr="00000000" w14:paraId="00000039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Porta-voz da iniciativa no Brasil: os parceiros passam a ser porta-vozes para divulgar a iniciativa e provocar a aderência de novos integrantes.</w:t>
      </w:r>
    </w:p>
    <w:p w:rsidR="00000000" w:rsidDel="00000000" w:rsidP="00000000" w:rsidRDefault="00000000" w:rsidRPr="00000000" w14:paraId="0000003B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i w:val="1"/>
          <w:color w:val="999999"/>
          <w:sz w:val="22"/>
          <w:szCs w:val="22"/>
        </w:rPr>
      </w:pP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O Comitê Gestor da iniciativa Um Milhão de Oportunidades se reserva o direito de excluir unilateralmente da iniciativa quaisquer empresas que não cumprirem os compromissos expressos neste termo.</w:t>
      </w:r>
    </w:p>
    <w:p w:rsidR="00000000" w:rsidDel="00000000" w:rsidP="00000000" w:rsidRDefault="00000000" w:rsidRPr="00000000" w14:paraId="0000003E">
      <w:pPr>
        <w:tabs>
          <w:tab w:val="left" w:pos="6882"/>
        </w:tabs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38100</wp:posOffset>
                </wp:positionV>
                <wp:extent cx="2447925" cy="360547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27118" y="3608868"/>
                          <a:ext cx="24377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da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Empresa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38100</wp:posOffset>
                </wp:positionV>
                <wp:extent cx="2447925" cy="360547"/>
                <wp:effectExtent b="0" l="0" r="0" t="0"/>
                <wp:wrapSquare wrapText="bothSides" distB="0" distT="0" distL="114300" distR="11430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60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90215" cy="474637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5655" y="3551718"/>
                          <a:ext cx="298069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do Comitê Gestor da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Iniciativa “Um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ilhão de Oportunidades”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90215" cy="474637"/>
                <wp:effectExtent b="0" l="0" r="0" t="0"/>
                <wp:wrapSquare wrapText="bothSides" distB="0" distT="0" distL="114300" distR="11430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215" cy="4746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882"/>
        </w:tabs>
        <w:spacing w:before="120" w:lineRule="auto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6882"/>
        </w:tabs>
        <w:rPr>
          <w:rFonts w:ascii="Lato" w:cs="Lato" w:eastAsia="Lato" w:hAnsi="Lato"/>
          <w:i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20" w:w="11900" w:orient="portrait"/>
      <w:pgMar w:bottom="265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597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109780" cy="276491"/>
          <wp:effectExtent b="0" l="0" r="0" 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780" cy="276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999999"/>
        <w:sz w:val="22"/>
        <w:szCs w:val="22"/>
      </w:rPr>
      <w:drawing>
        <wp:inline distB="114300" distT="114300" distL="114300" distR="114300">
          <wp:extent cx="1035025" cy="521652"/>
          <wp:effectExtent b="0" l="0" r="0" t="0"/>
          <wp:docPr id="2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025" cy="5216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1018D"/>
    <w:pPr>
      <w:spacing w:after="100" w:afterAutospacing="1" w:before="100" w:beforeAutospacing="1"/>
    </w:pPr>
    <w:rPr>
      <w:rFonts w:ascii="Times New Roman" w:cs="Times New Roman" w:hAnsi="Times New Roman" w:eastAsiaTheme="minorEastAsia"/>
      <w:lang w:eastAsia="pt-BR"/>
    </w:rPr>
  </w:style>
  <w:style w:type="paragraph" w:styleId="ListParagraph">
    <w:name w:val="List Paragraph"/>
    <w:basedOn w:val="Normal"/>
    <w:uiPriority w:val="34"/>
    <w:qFormat w:val="1"/>
    <w:rsid w:val="005D692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D6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925142"/>
  </w:style>
  <w:style w:type="character" w:styleId="FootnoteTextChar" w:customStyle="1">
    <w:name w:val="Footnote Text Char"/>
    <w:basedOn w:val="DefaultParagraphFont"/>
    <w:link w:val="FootnoteText"/>
    <w:uiPriority w:val="99"/>
    <w:rsid w:val="00925142"/>
  </w:style>
  <w:style w:type="character" w:styleId="FootnoteReference">
    <w:name w:val="footnote reference"/>
    <w:basedOn w:val="DefaultParagraphFont"/>
    <w:uiPriority w:val="99"/>
    <w:unhideWhenUsed w:val="1"/>
    <w:rsid w:val="009251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7F6E"/>
  </w:style>
  <w:style w:type="paragraph" w:styleId="Footer">
    <w:name w:val="footer"/>
    <w:basedOn w:val="Normal"/>
    <w:link w:val="Foot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7F6E"/>
  </w:style>
  <w:style w:type="character" w:styleId="Hyperlink">
    <w:name w:val="Hyperlink"/>
    <w:basedOn w:val="DefaultParagraphFont"/>
    <w:uiPriority w:val="99"/>
    <w:unhideWhenUsed w:val="1"/>
    <w:rsid w:val="00231CC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 w:val="1"/>
    <w:rsid w:val="008C63CD"/>
  </w:style>
  <w:style w:type="character" w:styleId="EndnoteTextChar" w:customStyle="1">
    <w:name w:val="Endnote Text Char"/>
    <w:basedOn w:val="DefaultParagraphFont"/>
    <w:link w:val="EndnoteText"/>
    <w:uiPriority w:val="99"/>
    <w:rsid w:val="008C63CD"/>
  </w:style>
  <w:style w:type="character" w:styleId="EndnoteReference">
    <w:name w:val="endnote reference"/>
    <w:basedOn w:val="DefaultParagraphFont"/>
    <w:uiPriority w:val="99"/>
    <w:unhideWhenUsed w:val="1"/>
    <w:rsid w:val="008C63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40AF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40A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J5Dxfz2p5UZzwpREMe/IU7B1w==">AMUW2mWHxlbA5L4DrfC7Fj1CLQKTGsyXHGpGyHSaFD0qZ4jimHqzZFNicVfrPSJueUR6L+K6aWvwUMtf3O2Ho+DRF1DWJWm91VuCSXVd4vZCIdKy7f4AKNo=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2020-08-16T13:03:00Z</dcterms:created>
  <dc:creator>Usuário do Microsoft Office</dc:creator>
</cp:coreProperties>
</file>